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7DE" w:rsidRDefault="005E27DE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5E27DE" w:rsidRPr="00D5457A" w:rsidRDefault="00D5457A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кладовщика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кладовщик</w:t>
      </w:r>
      <w:proofErr w:type="gramStart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кладовщика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кладовщика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проф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ессионального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кладовщика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кладовщика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кладовщиками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выполне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кладовщика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кладовщиков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сновании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ране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ГОСТ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Росстандарта</w:t>
      </w:r>
      <w:proofErr w:type="spellEnd"/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12.01.2017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№№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6-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ГОСТ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gramStart"/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</w:t>
      </w:r>
      <w:proofErr w:type="gramEnd"/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55525-2017,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Национальный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стандар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Складское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Стеллажи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сборно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разборные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Общие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нструкция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кладовщика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Кладовщику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кладовщиком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proofErr w:type="gramEnd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эл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ектробезопасности</w:t>
      </w:r>
      <w:proofErr w:type="spellEnd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стеллажами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Кладовщик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Кладовщику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Кладовщики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разработчика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Кладовщик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бучение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внепланового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охр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аны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кладовщик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Default="00D5457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3.9. </w:t>
      </w:r>
      <w:r>
        <w:rPr>
          <w:rFonts w:hAnsi="Times New Roman" w:cs="Times New Roman"/>
          <w:color w:val="000000"/>
          <w:sz w:val="24"/>
          <w:szCs w:val="24"/>
        </w:rPr>
        <w:t>Кладовщик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5E27DE" w:rsidRPr="00D5457A" w:rsidRDefault="00D5457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выполнять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други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кладовщика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Кладовщик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опреде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ляется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распоряжени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ями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3.11.4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Кладовщик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кладовщика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E27DE" w:rsidRDefault="00D5457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движущиеся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машины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механизмы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E27DE" w:rsidRPr="00D5457A" w:rsidRDefault="00D5457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подъемно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Default="00D5457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перемещаемые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товары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E27DE" w:rsidRPr="00D5457A" w:rsidRDefault="00D5457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обрушивающиеся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штабели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складируемых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взвешиваемых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холодильного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Default="00D5457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повышенная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подвижность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воздуха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E27DE" w:rsidRPr="00D5457A" w:rsidRDefault="00D5457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отс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утствие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недостаток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естественного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Default="00D5457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зоны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E27DE" w:rsidRPr="00D5457A" w:rsidRDefault="00D5457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неровности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Default="00D5457A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химические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факторы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3.12.2.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складского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кладовщика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E27DE" w:rsidRPr="00D5457A" w:rsidRDefault="00D5457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непреднамеренный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движущимися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возможный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падающих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дметов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обрыве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поднимаемого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Default="00D5457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высыпание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части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груза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E27DE" w:rsidRDefault="00D5457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падение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ГПМ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E27DE" w:rsidRPr="00D5457A" w:rsidRDefault="00D5457A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наезд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столкновении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передвижными</w:t>
      </w:r>
      <w:proofErr w:type="gramEnd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ГПМ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ленными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Кладовщик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защ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иты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инистрации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соб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ытию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Кладовщик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неисправнос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3.15.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кладовщик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пас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тами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Default="00D5457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исправность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вентиляционных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установок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E27DE" w:rsidRPr="00D5457A" w:rsidRDefault="00D5457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свободных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оходов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проездов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местам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складирования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щелей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набитых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планок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скользкости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неогражденных</w:t>
      </w:r>
      <w:proofErr w:type="spellEnd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колодцев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проходах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проездах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произв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одства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зимнее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транспортирования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рампы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пандусы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переходные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мостики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сходни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противоскользя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щим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шлаком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золой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эстакад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отбойного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бруса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охранного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борта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деревянных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покатов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крюками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тормозных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колодок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роликовых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ломов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Default="00D5457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4.1.3. </w:t>
      </w:r>
      <w:r>
        <w:rPr>
          <w:rFonts w:hAnsi="Times New Roman" w:cs="Times New Roman"/>
          <w:color w:val="000000"/>
          <w:sz w:val="24"/>
          <w:szCs w:val="24"/>
        </w:rPr>
        <w:t>Проверить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внешним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осмотром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5E27DE" w:rsidRPr="00D5457A" w:rsidRDefault="00D5457A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устрой</w:t>
      </w:r>
      <w:proofErr w:type="gramStart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ств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proofErr w:type="gramEnd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именяемого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дежность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ненадежности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наличие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правильную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надежное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подъемно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цепных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клин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оременных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соединительных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муфт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5E27DE" w:rsidRPr="00D5457A" w:rsidRDefault="00D5457A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ленте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пускорегулирующей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подъемно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пускателей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концевых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выключателей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товарных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весов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горизонтальность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отвеса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весы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наклонный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мостик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удобно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разместить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гири</w:t>
      </w:r>
      <w:proofErr w:type="gramEnd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Прежде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подключить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оварные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электронные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весы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заземлить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весов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изолированным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приступ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смотра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ремо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ного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5E27DE" w:rsidRDefault="00D5457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4.4.1. </w:t>
      </w:r>
      <w:r>
        <w:rPr>
          <w:rFonts w:hAnsi="Times New Roman" w:cs="Times New Roman"/>
          <w:color w:val="000000"/>
          <w:sz w:val="24"/>
          <w:szCs w:val="24"/>
        </w:rPr>
        <w:t>Перед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5E27DE" w:rsidRDefault="00D5457A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E27DE" w:rsidRPr="00D5457A" w:rsidRDefault="00D5457A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подк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лючения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определить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омощью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источ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ники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опасного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подъемно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оборудова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proofErr w:type="spellEnd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автопогрузчики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кары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краны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прочее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обученные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сдавшие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экзамен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proofErr w:type="gramStart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поддонов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контейнеров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.).</w:t>
      </w:r>
      <w:proofErr w:type="gramEnd"/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дату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последнего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размещаемого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стеллажах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величину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предельно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допустимой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Величина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предельно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допустимой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полки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стеллажа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указываться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стеллаже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proofErr w:type="gramStart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внешний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видимых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вмятин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балок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опор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стоек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панелей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фиксаторов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вертикальность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стоек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горизонтальность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рядов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ярусов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сварных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швах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металле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затяжки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крепежа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резьбовых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крепле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конструкциям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горизонтальность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расстояния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стеллажами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габаритам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подъемно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загромождая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подъезды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сигнальных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ротивопожарных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отс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утствие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нетоковедущими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заземляющим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руковод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ителю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поручать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необученным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5.1.3.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необходи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мые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ными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своевременную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рассыпанных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разлитых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загромождались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проезды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стеллажами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штабелями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пультам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правления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рубильникам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порожней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тарой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разгружаемым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товаром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опасном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маневрирующей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автомашины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автомашины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бортом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эстакадой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автомашины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задним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ходом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чистотой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рампы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зимой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льда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посыпке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золой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появившихся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щелей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проходах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проездах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превышения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грузовых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тележек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Default="00D5457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5.1.11. </w:t>
      </w:r>
      <w:r>
        <w:rPr>
          <w:rFonts w:hAnsi="Times New Roman" w:cs="Times New Roman"/>
          <w:color w:val="000000"/>
          <w:sz w:val="24"/>
          <w:szCs w:val="24"/>
        </w:rPr>
        <w:t>Следить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5E27DE" w:rsidRPr="00D5457A" w:rsidRDefault="00D5457A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равномерным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устойчивым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размещением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платформе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грузовой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стеллаже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укладкой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ячейки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очищены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остатков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упаковки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5E27DE" w:rsidRPr="00D5457A" w:rsidRDefault="00D5457A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наличием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бирок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наклеек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точным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наименованием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кислоты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лаки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краски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5E27DE" w:rsidRPr="00D5457A" w:rsidRDefault="00D5457A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укрытием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пылящих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резентом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рогожей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формировании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пакетов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плоских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поддонах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E27DE" w:rsidRPr="00D5457A" w:rsidRDefault="00D5457A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вес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был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распределен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симметрично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продольной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поперечной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осей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поддона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верхняя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плоскость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пакета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была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ровной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поддоне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выступал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вес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пакета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превышал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разгрузочного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укладывался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исправную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неправильно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сложенного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штабеля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разборк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укладке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вновь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устранением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замеченного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недостатка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Разборку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штабеля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сверху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длине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5.1.14.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креплением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покатов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бочек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автомашины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скатываемые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бочки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удерживались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веревкой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находящимся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автомашины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сбрасывания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бочек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платформы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автомашины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взвешивании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бочек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тяжеловесных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товарные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весы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заподлицо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полом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наклонный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мостик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Default="00D5457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</w:t>
      </w:r>
      <w:r>
        <w:rPr>
          <w:rFonts w:hAnsi="Times New Roman" w:cs="Times New Roman"/>
          <w:color w:val="000000"/>
          <w:sz w:val="24"/>
          <w:szCs w:val="24"/>
        </w:rPr>
        <w:t xml:space="preserve">16. </w:t>
      </w:r>
      <w:r>
        <w:rPr>
          <w:rFonts w:hAnsi="Times New Roman" w:cs="Times New Roman"/>
          <w:color w:val="000000"/>
          <w:sz w:val="24"/>
          <w:szCs w:val="24"/>
        </w:rPr>
        <w:t>Следить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чтобы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5E27DE" w:rsidRPr="00D5457A" w:rsidRDefault="00D5457A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передвижные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стеллажи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контейнеры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передвигались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«от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себя»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товары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переносились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Тара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загружалась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номинальной</w:t>
      </w:r>
      <w:proofErr w:type="gramEnd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брутто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складировании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бочек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уложенных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«лежа»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использовались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опорной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стенки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соседние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штабели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использовались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сидения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бочки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тому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подобное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5E27DE" w:rsidRPr="00D5457A" w:rsidRDefault="00D5457A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подъемно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соблюдались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безопасност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изложенные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эксплуатационной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заводов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вскрытия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использовался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предназначенный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гвоздодеры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клещи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сбойники</w:t>
      </w:r>
      <w:proofErr w:type="spellEnd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консервные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ножи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производились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случайными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предмет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ами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заусенцами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складирования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E27DE" w:rsidRPr="00D5457A" w:rsidRDefault="00D5457A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ящиках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мешках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сформированные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пакеты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укладывались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штабели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вперевязку</w:t>
      </w:r>
      <w:proofErr w:type="spellEnd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прокладкой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реек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каждыми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двумя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рядами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ящиков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досок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каждые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пять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рядов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мешков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5E27DE" w:rsidRPr="00D5457A" w:rsidRDefault="00D5457A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нижние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ряды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штабеля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укладывались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тяжелые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товарами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стеклянной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бутылки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банки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укладывались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штабели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высотой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складировании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поддонах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3,5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яруса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укладке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штабелей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сахара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соблюдались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расстояния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E27DE" w:rsidRDefault="00D5457A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между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штабелями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0,3 </w:t>
      </w:r>
      <w:r>
        <w:rPr>
          <w:rFonts w:hAnsi="Times New Roman" w:cs="Times New Roman"/>
          <w:color w:val="000000"/>
          <w:sz w:val="24"/>
          <w:szCs w:val="24"/>
        </w:rPr>
        <w:t>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E27DE" w:rsidRPr="00D5457A" w:rsidRDefault="00D5457A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штабелями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конвейером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1,0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стен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выступающих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0,7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мешки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мукой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укладывались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стеллажи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секциями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пять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мешков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тройками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пятерками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proofErr w:type="spellStart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вп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еревязку</w:t>
      </w:r>
      <w:proofErr w:type="spellEnd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укладке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мешки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укладывались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штабель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высотой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8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рядов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механизированным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рядов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ширина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муки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ручных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тележках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была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1,5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тележках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подъемными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платф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ормами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2,5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штабелями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муки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шириной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0,75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соблюдались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каждые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бочки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товаром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устанавливались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группами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разрывами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группами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5.1.18.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непродовольственные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товары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укладыв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ались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следующим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E27DE" w:rsidRPr="00D5457A" w:rsidRDefault="00D5457A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кирпич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пакетах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поддонах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яруса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контейнерах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ярус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контейнеров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высотой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1,7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репица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цементно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песчаная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глиняная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штабель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высотой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уложенная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ребро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кладками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нагревательные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радиаторы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отдельными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секциями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собранном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штабель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высотой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теплоизоляционные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штабель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высотой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1,2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хранением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сухом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диаметром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300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штабель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высотой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подкладках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мешки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удобрениями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плоских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поддонах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вперевязку</w:t>
      </w:r>
      <w:proofErr w:type="spellEnd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выступом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край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поддона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полках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вертикальном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лесоматериалы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штабельном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толщиной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0,35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штабель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высотой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Взвешиваемый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товар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класть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весы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толчков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центре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платформы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выступов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габариты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весов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Default="00D5457A">
      <w:pPr>
        <w:rPr>
          <w:rFonts w:hAnsi="Times New Roman" w:cs="Times New Roman"/>
          <w:color w:val="000000"/>
          <w:sz w:val="24"/>
          <w:szCs w:val="24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proofErr w:type="spellStart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Нетарированный</w:t>
      </w:r>
      <w:proofErr w:type="spellEnd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навальный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располагать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площ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ади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платформы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весов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необходимости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очищать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платформу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весов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загрязнения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5E27DE" w:rsidRDefault="00D5457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5.1.21.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допускается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5E27DE" w:rsidRPr="00D5457A" w:rsidRDefault="00D5457A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загрузочные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люки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неисправной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имеющей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задиры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торчащими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гвоздями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окант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овочной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проволокой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жесткой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рукавиц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Default="00D5457A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перемещать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грузы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волоком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E27DE" w:rsidRPr="00D5457A" w:rsidRDefault="00D5457A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загружать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больше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номинальной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брутто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штабель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слабой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упаковке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Default="00D5457A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ходить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штабелям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E27DE" w:rsidRPr="00D5457A" w:rsidRDefault="00D5457A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штабели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пиломатериалов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электропроводами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смежных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штабелях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текстильные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вместе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щелочами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горючими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розлива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кислот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сифонами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приспособлением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наклона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устанавливается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бутыль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наполненная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кислотой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резиновых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сапогах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прорезиненном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фартуке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предохранения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кожаной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резиновой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оправе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загрузочному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лотку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производился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поодиночке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спускаемый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убирался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спуска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следующего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5.1.25.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Предупреждать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предстоящем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пуске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подъемника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отвращение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ратиться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проведе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5.5.2.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5.5.3.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щие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6.1.1.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кладовщиком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E27DE" w:rsidRPr="00D5457A" w:rsidRDefault="00D5457A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выс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окого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случ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ае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бстановку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стеллажа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выявлении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деформаций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угрожающих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ава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рией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разгрузить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поврежденный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участок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ограждению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подъемно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подъемно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эвакуацию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угрожает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собственной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озникновении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.;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proofErr w:type="spellEnd"/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изме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нений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мощью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7.1.1.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ис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правности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становки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proofErr w:type="gramStart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отключению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лектроприборов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подъемно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стоянку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вентиляцию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достоверится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E27DE" w:rsidRDefault="00D5457A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5E27DE" w:rsidRDefault="00D5457A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545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27DE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5457A" w:rsidRPr="00D5457A" w:rsidRDefault="00D5457A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D5457A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https://1otruda.ru/#/document/118/92128/</w:t>
      </w:r>
    </w:p>
    <w:sectPr w:rsidR="00D5457A" w:rsidRPr="00D5457A" w:rsidSect="005E27DE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5147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12322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013EA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5D0A7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2D1F3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8E1F8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172279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5152FD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C473BA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E63277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53659E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6DC2E6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66F6BC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E323E5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1"/>
  </w:num>
  <w:num w:numId="5">
    <w:abstractNumId w:val="9"/>
  </w:num>
  <w:num w:numId="6">
    <w:abstractNumId w:val="4"/>
  </w:num>
  <w:num w:numId="7">
    <w:abstractNumId w:val="5"/>
  </w:num>
  <w:num w:numId="8">
    <w:abstractNumId w:val="2"/>
  </w:num>
  <w:num w:numId="9">
    <w:abstractNumId w:val="13"/>
  </w:num>
  <w:num w:numId="10">
    <w:abstractNumId w:val="7"/>
  </w:num>
  <w:num w:numId="11">
    <w:abstractNumId w:val="11"/>
  </w:num>
  <w:num w:numId="12">
    <w:abstractNumId w:val="8"/>
  </w:num>
  <w:num w:numId="13">
    <w:abstractNumId w:val="3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5E27DE"/>
    <w:rsid w:val="00653AF6"/>
    <w:rsid w:val="00B73A5A"/>
    <w:rsid w:val="00D5457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4594</Words>
  <Characters>26189</Characters>
  <Application>Microsoft Office Word</Application>
  <DocSecurity>0</DocSecurity>
  <Lines>218</Lines>
  <Paragraphs>61</Paragraphs>
  <ScaleCrop>false</ScaleCrop>
  <Company/>
  <LinksUpToDate>false</LinksUpToDate>
  <CharactersWithSpaces>30722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2022-11-23T05:00:00Z</dcterms:modified>
</cp:coreProperties>
</file>